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17" w:rsidRPr="006C71EF" w:rsidRDefault="009F2F17" w:rsidP="006C71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1EF" w:rsidRPr="006C71EF" w:rsidRDefault="006C71EF" w:rsidP="006C71EF">
      <w:pPr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bookmarkStart w:id="0" w:name="_Toc492564001"/>
      <w:bookmarkStart w:id="1" w:name="_Toc492914460"/>
      <w:bookmarkStart w:id="2" w:name="_Toc493151234"/>
      <w:r w:rsidRPr="006C71EF">
        <w:rPr>
          <w:rFonts w:ascii="Times New Roman" w:eastAsia="Times New Roman" w:hAnsi="Times New Roman" w:cs="Times New Roman"/>
          <w:b/>
          <w:sz w:val="24"/>
          <w:lang w:val="es-ES" w:eastAsia="es-ES"/>
        </w:rPr>
        <w:t>ACTA DE JUNTA GENERAL EXTRAORDINARIA AUMENTO DE CAPITAL COMPAÑÍA ANONIMA</w:t>
      </w:r>
      <w:bookmarkEnd w:id="0"/>
      <w:bookmarkEnd w:id="1"/>
      <w:bookmarkEnd w:id="2"/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 xml:space="preserve">ACTA DE JUNTA GENERAL EXTRAORDINARIA Y UNIVERSAL DE ACCIONISTAS DE LA </w:t>
      </w:r>
      <w:r w:rsidRPr="006C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COMPAÑÍA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....................... </w:t>
      </w:r>
      <w:r w:rsidRPr="006C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C.A.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En la ciudad de ………., en la dirección de la Compañía, hoy día ........ de ........ de ........, a las ........h........, se reúnen los siguientes Accionistas: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tbl>
      <w:tblPr>
        <w:tblW w:w="878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55"/>
        <w:gridCol w:w="3455"/>
        <w:gridCol w:w="1379"/>
        <w:gridCol w:w="1330"/>
      </w:tblGrid>
      <w:tr w:rsidR="006C71EF" w:rsidRPr="006C71EF" w:rsidTr="006C71EF">
        <w:trPr>
          <w:trHeight w:val="219"/>
        </w:trPr>
        <w:tc>
          <w:tcPr>
            <w:tcW w:w="567" w:type="dxa"/>
            <w:shd w:val="clear" w:color="auto" w:fill="auto"/>
            <w:vAlign w:val="center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DOCUMENTO DE IDENTIDAD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COMPAÑÍA / ACCIONISTA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CAPITAL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%</w:t>
            </w:r>
          </w:p>
        </w:tc>
      </w:tr>
      <w:tr w:rsidR="006C71EF" w:rsidRPr="006C71EF" w:rsidTr="006C71EF">
        <w:trPr>
          <w:trHeight w:val="135"/>
        </w:trPr>
        <w:tc>
          <w:tcPr>
            <w:tcW w:w="567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79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30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............%</w:t>
            </w:r>
          </w:p>
        </w:tc>
      </w:tr>
      <w:tr w:rsidR="006C71EF" w:rsidRPr="006C71EF" w:rsidTr="006C71EF">
        <w:trPr>
          <w:trHeight w:val="135"/>
        </w:trPr>
        <w:tc>
          <w:tcPr>
            <w:tcW w:w="567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20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79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30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............%</w:t>
            </w:r>
          </w:p>
        </w:tc>
      </w:tr>
      <w:tr w:rsidR="006C71EF" w:rsidRPr="006C71EF" w:rsidTr="006C71EF">
        <w:trPr>
          <w:trHeight w:val="114"/>
        </w:trPr>
        <w:tc>
          <w:tcPr>
            <w:tcW w:w="567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0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3455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79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30" w:type="dxa"/>
            <w:shd w:val="clear" w:color="auto" w:fill="auto"/>
          </w:tcPr>
          <w:p w:rsidR="006C71EF" w:rsidRPr="006C71EF" w:rsidRDefault="006C71EF" w:rsidP="006C71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100%</w:t>
            </w:r>
          </w:p>
        </w:tc>
      </w:tr>
    </w:tbl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Dando un total de ................ acciones de un dólar cada una.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Los Accionistas reunidos conforman el 100% del capital social de la Compañía, y en razón de ello amparados en los Artículos 119 y 238 de la Ley de Compañías, resuelven instalarse en Junta General Extraordinaria y Universal de Accionistas.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Preside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 Junta el presidente de la compañía,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el...............................</w:t>
      </w:r>
      <w:r w:rsidRPr="006C7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y actúa como </w:t>
      </w:r>
      <w:r w:rsidRPr="006C7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Secretario de la Junta</w:t>
      </w:r>
      <w:r w:rsidRPr="006C71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" w:eastAsia="es-ES"/>
        </w:rPr>
        <w:t xml:space="preserve">, El Gerente General,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..............................................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El Presidente declara instalada la Junta General Extraordinaria y Universal de Accionistas, con el objeto de discutir el único punto del orden del día: 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El Presidente dispone que el secretario de lectura del orden del día por resolver: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AUMENTO DE CAPITAL Y REFORMA DE ESTATUTOS </w:t>
      </w:r>
    </w:p>
    <w:p w:rsidR="006C71EF" w:rsidRPr="006C71EF" w:rsidRDefault="006C71EF" w:rsidP="006C71E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AUTORIZACIÓN AL GERENTE GENERAL</w:t>
      </w:r>
    </w:p>
    <w:p w:rsidR="006C71EF" w:rsidRPr="006C71EF" w:rsidRDefault="006C71EF" w:rsidP="006C71E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autoSpaceDE w:val="0"/>
        <w:autoSpaceDN w:val="0"/>
        <w:adjustRightInd w:val="0"/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La Junta General Extraordinaria y Universal, en conocimiento de los dos puntos del orden del día, decide tratarlos. - 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PRIMERO. - AUMENTO DE CAPITAL Y REFORMA DE ESTATUTOS. -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El señor Gerente General, interviene y manifiesta que, ante las metas que debe afrontar la compañía, es conveniente se aumente el capital de la compañía, a la suma total de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.............................................................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DÓLARES DE LOS ESTADOS UNIDOS DE AMÉRICA (Usd. ...........................)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, mediante compensación de créditos, es decir de la cuenta por pagar Accionistas, la misma que fue acreditada en proporción a sus acciones, de acuerdo al Cuadro de Integración de Capital que se ha permitido elaborar y se acompaña a la presente Acta de Junta General como habilitante. Seguidamente, el señor Gerente General manifiesta que, como consecuencia del aumento de capital, es necesario, también reformar el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lastRenderedPageBreak/>
        <w:t xml:space="preserve">estatuto de la compañía por lo tanto el 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>CAPITULO CUARTO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de los estatutos de la compañía dirá: 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ARTICULO CUARTO. - CAPITAL SOCIAL. -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capital social de la compañía es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de......................................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dólares de los Estados Unidos de América (Usd.............,00), dividido en .............................................. (...............) Acciones Ordinarias y nominativas de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…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dólar (…) de los Estados Unidos de América, numeradas del cero </w:t>
      </w:r>
      <w:proofErr w:type="spellStart"/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cero</w:t>
      </w:r>
      <w:proofErr w:type="spellEnd"/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 uno (001)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al....................................................................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(........) inclusive.</w:t>
      </w:r>
    </w:p>
    <w:tbl>
      <w:tblPr>
        <w:tblpPr w:leftFromText="141" w:rightFromText="141" w:vertAnchor="text" w:horzAnchor="margin" w:tblpY="1468"/>
        <w:tblW w:w="86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189"/>
        <w:gridCol w:w="1358"/>
        <w:gridCol w:w="1270"/>
        <w:gridCol w:w="1271"/>
        <w:gridCol w:w="1386"/>
        <w:gridCol w:w="685"/>
      </w:tblGrid>
      <w:tr w:rsidR="006C71EF" w:rsidRPr="006C71EF" w:rsidTr="006C71EF">
        <w:trPr>
          <w:trHeight w:val="3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ACCIONISTAS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CAPI</w:t>
            </w: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TAL ACTUAL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AUMENTO DE CAPITAL</w:t>
            </w: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FORMA DE PAGO</w:t>
            </w: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</w:p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NUEVO CAPITAL</w:t>
            </w: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</w:p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No. ACCIONES</w:t>
            </w: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val="es" w:eastAsia="es-ES"/>
              </w:rPr>
              <w:t>%</w:t>
            </w:r>
          </w:p>
        </w:tc>
      </w:tr>
      <w:tr w:rsidR="006C71EF" w:rsidRPr="006C71EF" w:rsidTr="006C71EF">
        <w:trPr>
          <w:trHeight w:val="59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  <w:t>----%</w:t>
            </w:r>
          </w:p>
        </w:tc>
      </w:tr>
      <w:tr w:rsidR="006C71EF" w:rsidRPr="006C71EF" w:rsidTr="006C71EF">
        <w:trPr>
          <w:trHeight w:val="59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  <w:t>-----%</w:t>
            </w:r>
          </w:p>
        </w:tc>
      </w:tr>
      <w:tr w:rsidR="006C71EF" w:rsidRPr="006C71EF" w:rsidTr="006C71EF">
        <w:trPr>
          <w:trHeight w:val="273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</w:tr>
      <w:tr w:rsidR="006C71EF" w:rsidRPr="006C71EF" w:rsidTr="006C71EF">
        <w:trPr>
          <w:trHeight w:val="668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  <w:t>TOTAL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  <w:r w:rsidRPr="006C7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  <w:t>100%</w:t>
            </w:r>
          </w:p>
        </w:tc>
      </w:tr>
      <w:tr w:rsidR="006C71EF" w:rsidRPr="006C71EF" w:rsidTr="006C71EF">
        <w:trPr>
          <w:trHeight w:val="222"/>
        </w:trPr>
        <w:tc>
          <w:tcPr>
            <w:tcW w:w="150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0" w:type="dxa"/>
            <w:shd w:val="clear" w:color="000000" w:fill="FFFFFF"/>
            <w:vAlign w:val="center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271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1386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  <w:tc>
          <w:tcPr>
            <w:tcW w:w="685" w:type="dxa"/>
            <w:shd w:val="clear" w:color="000000" w:fill="FFFFFF"/>
          </w:tcPr>
          <w:p w:rsidR="006C71EF" w:rsidRPr="006C71EF" w:rsidRDefault="006C71EF" w:rsidP="006C71E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" w:eastAsia="es-ES"/>
              </w:rPr>
            </w:pPr>
          </w:p>
        </w:tc>
      </w:tr>
    </w:tbl>
    <w:p w:rsidR="006C71EF" w:rsidRPr="006C71EF" w:rsidRDefault="006C71EF" w:rsidP="006C71EF">
      <w:pPr>
        <w:autoSpaceDE w:val="0"/>
        <w:autoSpaceDN w:val="0"/>
        <w:adjustRightInd w:val="0"/>
        <w:spacing w:after="0" w:line="276" w:lineRule="auto"/>
        <w:ind w:left="-284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El Gerente General de la compañía expresa que en base a los antecedentes que se dejan planteados, la compañía elevara su capital a la suma total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de.................................................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DÓLARES DE LOS ESTADOS UNIDOS DE AMÉRICA (Usd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................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,00), quedando el siguiente cuadro de integración de capital:</w:t>
      </w:r>
    </w:p>
    <w:p w:rsidR="006C71EF" w:rsidRDefault="006C71EF" w:rsidP="006C71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MX"/>
        </w:rPr>
        <w:t xml:space="preserve">SEGUNDO. - AUTORIZACIÓN AL GERENTE GENERAL. -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 xml:space="preserve">El Gerente General solicita autorización expresa a los Accionistas para modificar los estatutos de la compañía en los términos señalados y efectuar todos los trámites que correspondan ante las instituciones públicas y privadas que intervienen en este tipo de actos, para legalizar el aumento de capital y las reformas del estatuto decididas. La autorización es concedida por unanimidad. -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Sin haber otro punto que tratar,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MX"/>
        </w:rPr>
        <w:t>por Secretaría se concede un receso para la elaboración del Acta, luego de lo cual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se reinstala la sesión, se da lectura al acta, la cual es aprobada por unanimidad, sin modificaciones. - Se levanta la sesión a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las...h...,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 xml:space="preserve"> firmando para constancia todos los accionistas por tratarse de una Junta General Extraordinaria y Universal de acuerdo con la Ley de Compañías.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"/>
        </w:rPr>
      </w:pP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Tratados todos los Puntos del orden del día, se concede un receso para la redacción del Acta, procediendo a dar lectura de la misma, la cual es aprobada en su totalidad. La Junta se da por terminada a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las............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horas y al expediente de la misma se agregan los documentos aprobados.</w:t>
      </w:r>
      <w:r w:rsidRPr="006C71EF">
        <w:rPr>
          <w:rFonts w:ascii="Times New Roman" w:eastAsia="Calibri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r w:rsidRPr="006C71EF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El Presidente de la Junta y la Secretaria de la Junta que certifica. 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:rsidR="006C71EF" w:rsidRDefault="006C71EF" w:rsidP="006C71EF">
      <w:pPr>
        <w:spacing w:after="0" w:line="276" w:lineRule="auto"/>
        <w:ind w:hanging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6C71EF" w:rsidRDefault="006C71EF" w:rsidP="006C71EF">
      <w:pPr>
        <w:spacing w:after="0" w:line="276" w:lineRule="auto"/>
        <w:ind w:hanging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6C71EF" w:rsidRPr="006C71EF" w:rsidRDefault="006C71EF" w:rsidP="006C71EF">
      <w:pPr>
        <w:spacing w:after="0" w:line="276" w:lineRule="auto"/>
        <w:ind w:hanging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PRESIDENTE DE LA JUNTA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SECRETARIO DE LA JUNTA</w:t>
      </w:r>
    </w:p>
    <w:p w:rsidR="006C71EF" w:rsidRPr="006C71EF" w:rsidRDefault="006C71EF" w:rsidP="006C7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ACCIONISTA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                   </w:t>
      </w:r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ACCION</w:t>
      </w:r>
      <w:bookmarkStart w:id="3" w:name="_GoBack"/>
      <w:bookmarkEnd w:id="3"/>
      <w:r w:rsidRPr="006C7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ISTA</w:t>
      </w:r>
    </w:p>
    <w:p w:rsidR="006C71EF" w:rsidRPr="006C71EF" w:rsidRDefault="006C71EF" w:rsidP="006C7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71EF" w:rsidRPr="006C71E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87" w:rsidRDefault="006C71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87" w:rsidRPr="00707AEF" w:rsidRDefault="006C71EF" w:rsidP="005D6B87">
    <w:pPr>
      <w:pStyle w:val="Piedepgina"/>
      <w:pBdr>
        <w:top w:val="single" w:sz="4" w:space="1" w:color="auto"/>
      </w:pBdr>
      <w:jc w:val="center"/>
      <w:rPr>
        <w:b/>
        <w:i/>
        <w:color w:val="C00000"/>
      </w:rPr>
    </w:pPr>
    <w:r w:rsidRPr="00707AEF">
      <w:rPr>
        <w:b/>
        <w:i/>
        <w:color w:val="C00000"/>
      </w:rPr>
      <w:t xml:space="preserve">Este </w:t>
    </w:r>
    <w:r>
      <w:rPr>
        <w:b/>
        <w:i/>
        <w:color w:val="C00000"/>
      </w:rPr>
      <w:t>modelo</w:t>
    </w:r>
    <w:r w:rsidRPr="00707AEF">
      <w:rPr>
        <w:b/>
        <w:i/>
        <w:color w:val="C00000"/>
      </w:rPr>
      <w:t xml:space="preserve"> y muchos más los puede descargar en nuestro portal </w:t>
    </w:r>
    <w:hyperlink r:id="rId1" w:history="1">
      <w:r w:rsidRPr="00707AEF">
        <w:rPr>
          <w:rStyle w:val="Hipervnculo"/>
          <w:b/>
          <w:color w:val="C00000"/>
        </w:rPr>
        <w:t>www.zonalegal.net</w:t>
      </w:r>
    </w:hyperlink>
  </w:p>
  <w:p w:rsidR="00BA1BAC" w:rsidRPr="005D6B87" w:rsidRDefault="006C71EF" w:rsidP="005D6B87">
    <w:pPr>
      <w:pStyle w:val="Piedepgina"/>
      <w:jc w:val="center"/>
      <w:rPr>
        <w:b/>
        <w:i/>
        <w:color w:val="C00000"/>
      </w:rPr>
    </w:pPr>
    <w:r>
      <w:rPr>
        <w:b/>
        <w:i/>
        <w:color w:val="C00000"/>
      </w:rPr>
      <w:t>Lo invitamos a suscribirse.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87" w:rsidRDefault="006C71EF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87" w:rsidRDefault="006C71E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AC" w:rsidRDefault="006C71EF">
    <w:pPr>
      <w:pStyle w:val="Encabezado"/>
    </w:pPr>
    <w:r>
      <w:t xml:space="preserve">                                                                                                  </w:t>
    </w:r>
    <w:r>
      <w:rPr>
        <w:noProof/>
        <w:lang w:eastAsia="es-EC"/>
      </w:rPr>
      <w:drawing>
        <wp:inline distT="0" distB="0" distL="0" distR="0" wp14:anchorId="388A4D3E" wp14:editId="2CC224DB">
          <wp:extent cx="2277110" cy="591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62" cy="61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87" w:rsidRDefault="006C71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5C99"/>
    <w:multiLevelType w:val="hybridMultilevel"/>
    <w:tmpl w:val="F228736C"/>
    <w:lvl w:ilvl="0" w:tplc="F1A88508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F"/>
    <w:rsid w:val="006C71EF"/>
    <w:rsid w:val="009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FA7EB8-1B3E-46B4-9B89-A8E5B0B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E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1EF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6C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1EF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6C7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nalega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1</cp:revision>
  <dcterms:created xsi:type="dcterms:W3CDTF">2018-02-07T19:53:00Z</dcterms:created>
  <dcterms:modified xsi:type="dcterms:W3CDTF">2018-02-07T19:59:00Z</dcterms:modified>
</cp:coreProperties>
</file>